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法语泛读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*</w:t>
            </w:r>
            <w:r>
              <w:rPr>
                <w:color w:val="auto"/>
              </w:rPr>
              <w:t>课程名称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法语泛读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6" w:type="dxa"/>
            <w:vMerge w:val="continue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French extensive reading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课程性质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法语二专主干课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基础法语2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r>
              <w:rPr>
                <w:rFonts w:hint="eastAsia"/>
              </w:rPr>
              <w:t>仝燕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本课程属于法语专业的主要技能训练课程。本课程的教学目的是通过大量的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  <w:lang w:val="fr-FR"/>
              </w:rPr>
              <w:t>练习和实践，逐步培养和提高学生用法语进行基本语言表达的能力，为高年级的口译和翻译课打下坚实的基础。同时帮助学生了解主要法语国家的文化背景和生活习俗。通过本课程的学习，学生应能就日常生活中的一般情景进行恰当的</w:t>
            </w:r>
            <w:r>
              <w:rPr>
                <w:rFonts w:hint="eastAsia"/>
                <w:sz w:val="24"/>
              </w:rPr>
              <w:t>阅读理解</w:t>
            </w:r>
            <w:r>
              <w:rPr>
                <w:rFonts w:hint="eastAsia"/>
                <w:sz w:val="24"/>
                <w:lang w:val="fr-FR"/>
              </w:rPr>
              <w:t>；能就社会生活中的一般话题进行连贯表达；能比较准确地表达思想，语言运用基本得体。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 xml:space="preserve">As a </w:t>
            </w:r>
            <w:r>
              <w:rPr>
                <w:rFonts w:ascii="Courier New" w:hAnsi="Courier New" w:cs="Courier New"/>
              </w:rPr>
              <w:t>language</w:t>
            </w:r>
            <w:r>
              <w:rPr>
                <w:rFonts w:hint="eastAsia" w:ascii="Courier New" w:hAnsi="Courier New" w:cs="Courier New"/>
              </w:rPr>
              <w:t>-skill-oriented course for French majors, t</w:t>
            </w:r>
            <w:r>
              <w:rPr>
                <w:rFonts w:ascii="Courier New" w:hAnsi="Courier New" w:cs="Courier New"/>
              </w:rPr>
              <w:t>h</w:t>
            </w:r>
            <w:r>
              <w:rPr>
                <w:rFonts w:hint="eastAsia" w:ascii="Courier New" w:hAnsi="Courier New" w:cs="Courier New"/>
              </w:rPr>
              <w:t xml:space="preserve">is course provides extensive training in French reading to improve </w:t>
            </w:r>
            <w:r>
              <w:rPr>
                <w:rFonts w:ascii="Courier New" w:hAnsi="Courier New" w:cs="Courier New"/>
              </w:rPr>
              <w:t>students’ basic French language ability</w:t>
            </w:r>
            <w:r>
              <w:rPr>
                <w:rFonts w:hint="eastAsia" w:ascii="Courier New" w:hAnsi="Courier New" w:cs="Courier New"/>
              </w:rPr>
              <w:t xml:space="preserve"> and </w:t>
            </w:r>
            <w:r>
              <w:rPr>
                <w:rFonts w:ascii="Courier New" w:hAnsi="Courier New" w:cs="Courier New"/>
              </w:rPr>
              <w:t>lay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 a solid foundation for high-grade interpretation and translation courses. At the same time</w:t>
            </w:r>
            <w:r>
              <w:rPr>
                <w:rFonts w:hint="eastAsia" w:ascii="Courier New" w:hAnsi="Courier New" w:cs="Courier New"/>
              </w:rPr>
              <w:t>, this course can</w:t>
            </w:r>
            <w:r>
              <w:rPr>
                <w:rFonts w:ascii="Courier New" w:hAnsi="Courier New" w:cs="Courier New"/>
              </w:rPr>
              <w:t xml:space="preserve"> help students</w:t>
            </w:r>
            <w:r>
              <w:rPr>
                <w:rFonts w:hint="eastAsia" w:ascii="Courier New" w:hAnsi="Courier New" w:cs="Courier New"/>
              </w:rPr>
              <w:t xml:space="preserve"> to </w:t>
            </w:r>
            <w:r>
              <w:rPr>
                <w:rFonts w:ascii="Courier New" w:hAnsi="Courier New" w:cs="Courier New"/>
              </w:rPr>
              <w:t>understand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the cultural background and social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custom</w:t>
            </w:r>
            <w:r>
              <w:rPr>
                <w:rFonts w:hint="eastAsia" w:ascii="Courier New" w:hAnsi="Courier New" w:cs="Courier New"/>
              </w:rPr>
              <w:t>s in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major</w:t>
            </w:r>
            <w:r>
              <w:rPr>
                <w:rFonts w:ascii="Courier New" w:hAnsi="Courier New" w:cs="Courier New"/>
              </w:rPr>
              <w:t xml:space="preserve"> French-speaking countries. Students should be able to</w:t>
            </w:r>
            <w:r>
              <w:rPr>
                <w:rFonts w:hint="eastAsia" w:ascii="Courier New" w:hAnsi="Courier New" w:cs="Courier New"/>
              </w:rPr>
              <w:t xml:space="preserve"> talk about daily issues </w:t>
            </w:r>
            <w:r>
              <w:rPr>
                <w:rFonts w:ascii="Courier New" w:hAnsi="Courier New" w:cs="Courier New"/>
              </w:rPr>
              <w:t>appropriate</w:t>
            </w:r>
            <w:r>
              <w:rPr>
                <w:rFonts w:hint="eastAsia" w:ascii="Courier New" w:hAnsi="Courier New" w:cs="Courier New"/>
              </w:rPr>
              <w:t xml:space="preserve">ly, deliver coherent speech </w:t>
            </w:r>
            <w:r>
              <w:rPr>
                <w:rFonts w:ascii="Courier New" w:hAnsi="Courier New" w:cs="Courier New"/>
              </w:rPr>
              <w:t>on the general topic</w:t>
            </w:r>
            <w:r>
              <w:rPr>
                <w:rFonts w:hint="eastAsia" w:ascii="Courier New" w:hAnsi="Courier New" w:cs="Courier New"/>
              </w:rPr>
              <w:t xml:space="preserve">s and express ideas with </w:t>
            </w:r>
            <w:r>
              <w:rPr>
                <w:rFonts w:ascii="Courier New" w:hAnsi="Courier New" w:cs="Courier New"/>
              </w:rPr>
              <w:t>accuracy</w:t>
            </w:r>
            <w:r>
              <w:rPr>
                <w:rFonts w:hint="eastAsia" w:ascii="Courier New" w:hAnsi="Courier New" w:cs="Courier New"/>
              </w:rPr>
              <w:t xml:space="preserve">. </w:t>
            </w:r>
          </w:p>
          <w:p>
            <w:pPr>
              <w:ind w:firstLine="420" w:firstLineChars="200"/>
              <w:jc w:val="center"/>
              <w:rPr>
                <w:sz w:val="24"/>
              </w:rPr>
            </w:pPr>
            <w:r>
              <w:rPr>
                <w:rFonts w:ascii="Courier New" w:hAnsi="Courier New" w:cs="Courier New"/>
              </w:rPr>
              <w:br w:type="page"/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1．培养学生的法语阅读能力。</w:t>
            </w:r>
          </w:p>
          <w:p>
            <w:r>
              <w:rPr>
                <w:rFonts w:hint="eastAsia"/>
              </w:rPr>
              <w:t>2．了解法国文化。</w:t>
            </w:r>
          </w:p>
          <w:p>
            <w:r>
              <w:rPr>
                <w:rFonts w:hint="eastAsia"/>
              </w:rPr>
              <w:t>3．培养学生的自主学习能力。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9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ind w:left="420" w:hanging="420" w:hangingChars="2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ind w:left="420" w:hanging="420" w:hangingChars="2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 xml:space="preserve">  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ind w:left="210" w:hanging="210" w:hangingChars="1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第四单元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第四单元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课文和课后阅读</w:t>
                  </w:r>
                  <w:r>
                    <w:t>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做语法练习题和词汇讲解题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第四单元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做听写和课后练习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第五单元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做语法练习提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auto"/>
              </w:rPr>
              <w:t>笔试（80%）+平时（出勤10%+作业课堂表现10%）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auto"/>
              </w:rPr>
              <w:t>新世纪大学法语，邱公南编著，外语教学与研究出版社，2004年8月第1版，ISBN7-5600-4417-4/G</w:t>
            </w:r>
            <w:r>
              <w:rPr>
                <w:rFonts w:hint="eastAsia" w:asciiTheme="minorEastAsia" w:hAnsiTheme="minorEastAsia"/>
                <w:color w:val="auto"/>
              </w:rPr>
              <w:t>.2304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BC1"/>
    <w:rsid w:val="00046DFD"/>
    <w:rsid w:val="0006061D"/>
    <w:rsid w:val="00065C8F"/>
    <w:rsid w:val="000A3107"/>
    <w:rsid w:val="000A548F"/>
    <w:rsid w:val="000B4F6B"/>
    <w:rsid w:val="000B5B61"/>
    <w:rsid w:val="000C4BA4"/>
    <w:rsid w:val="000E4C57"/>
    <w:rsid w:val="00113507"/>
    <w:rsid w:val="00124F58"/>
    <w:rsid w:val="00133ABB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24FE1"/>
    <w:rsid w:val="00656964"/>
    <w:rsid w:val="00663B60"/>
    <w:rsid w:val="00686943"/>
    <w:rsid w:val="006A13AE"/>
    <w:rsid w:val="006D3645"/>
    <w:rsid w:val="006F1849"/>
    <w:rsid w:val="006F49C1"/>
    <w:rsid w:val="006F564C"/>
    <w:rsid w:val="00705456"/>
    <w:rsid w:val="00707583"/>
    <w:rsid w:val="0074127F"/>
    <w:rsid w:val="00784A11"/>
    <w:rsid w:val="007862C3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C4F3E"/>
    <w:rsid w:val="009E73FA"/>
    <w:rsid w:val="00A16565"/>
    <w:rsid w:val="00A3078F"/>
    <w:rsid w:val="00A34A7B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A4423"/>
    <w:rsid w:val="00BD5D48"/>
    <w:rsid w:val="00BE022B"/>
    <w:rsid w:val="00C040DE"/>
    <w:rsid w:val="00C46B87"/>
    <w:rsid w:val="00C5575C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91216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C1070"/>
    <w:rsid w:val="00ED2940"/>
    <w:rsid w:val="00ED30B5"/>
    <w:rsid w:val="00EE613C"/>
    <w:rsid w:val="00F262EB"/>
    <w:rsid w:val="00F46C0A"/>
    <w:rsid w:val="00F746B7"/>
    <w:rsid w:val="00FC687D"/>
    <w:rsid w:val="00FE20EB"/>
    <w:rsid w:val="00FE4D40"/>
    <w:rsid w:val="07A5668F"/>
    <w:rsid w:val="089540F3"/>
    <w:rsid w:val="1EC80BCC"/>
    <w:rsid w:val="2C93485B"/>
    <w:rsid w:val="332F15EA"/>
    <w:rsid w:val="34331ABF"/>
    <w:rsid w:val="38682E91"/>
    <w:rsid w:val="43B911C9"/>
    <w:rsid w:val="46CE6361"/>
    <w:rsid w:val="4874756E"/>
    <w:rsid w:val="4FB1734B"/>
    <w:rsid w:val="525E45E6"/>
    <w:rsid w:val="5444046E"/>
    <w:rsid w:val="559943B0"/>
    <w:rsid w:val="5E9A260C"/>
    <w:rsid w:val="60363329"/>
    <w:rsid w:val="613558E8"/>
    <w:rsid w:val="641B6EA4"/>
    <w:rsid w:val="68914C82"/>
    <w:rsid w:val="736705CB"/>
    <w:rsid w:val="77F87EFB"/>
    <w:rsid w:val="7894736E"/>
    <w:rsid w:val="7D8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non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9FA0F-5262-4B9F-A1DE-537F9C3D8B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1986</Characters>
  <Lines>16</Lines>
  <Paragraphs>4</Paragraphs>
  <TotalTime>0</TotalTime>
  <ScaleCrop>false</ScaleCrop>
  <LinksUpToDate>false</LinksUpToDate>
  <CharactersWithSpaces>2330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2014-07-21T01:35:00Z</dcterms:created>
  <dc:creator>xiqiang yang</dc:creator>
  <cp:lastModifiedBy>12148</cp:lastModifiedBy>
  <cp:lastPrinted>2014-04-28T01:34:00Z</cp:lastPrinted>
  <dcterms:modified xsi:type="dcterms:W3CDTF">2017-10-11T09:02:50Z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